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D47AC" w14:textId="7D3AA23A" w:rsidR="3FBA6D58" w:rsidRDefault="3FBA6D58" w:rsidP="3FBA6D58">
      <w:pPr>
        <w:tabs>
          <w:tab w:val="left" w:pos="7655"/>
        </w:tabs>
        <w:spacing w:after="200" w:line="240" w:lineRule="auto"/>
        <w:jc w:val="center"/>
      </w:pPr>
      <w:r>
        <w:rPr>
          <w:noProof/>
        </w:rPr>
        <w:drawing>
          <wp:inline distT="0" distB="0" distL="0" distR="0" wp14:anchorId="39ADCEDB" wp14:editId="27020AA4">
            <wp:extent cx="4572000" cy="676275"/>
            <wp:effectExtent l="0" t="0" r="0" b="0"/>
            <wp:docPr id="1778244295" name="Obrázek 17782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AE613" w14:textId="2E6885AC" w:rsidR="002B13C7" w:rsidRPr="00ED785B" w:rsidRDefault="00885301" w:rsidP="3FBA6D58">
      <w:pPr>
        <w:tabs>
          <w:tab w:val="left" w:pos="7655"/>
        </w:tabs>
        <w:spacing w:after="20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01711605"/>
      <w:r w:rsidRPr="00ED785B">
        <w:rPr>
          <w:rFonts w:asciiTheme="majorHAnsi" w:hAnsiTheme="majorHAnsi" w:cstheme="majorHAnsi"/>
          <w:b/>
          <w:bCs/>
          <w:sz w:val="32"/>
          <w:szCs w:val="32"/>
        </w:rPr>
        <w:t xml:space="preserve">Český jazyk a literatura – Písemná práce </w:t>
      </w:r>
    </w:p>
    <w:p w14:paraId="5AB304A8" w14:textId="697DB7FD" w:rsidR="002B13C7" w:rsidRPr="00ED785B" w:rsidRDefault="00885301" w:rsidP="3FBA6D58">
      <w:pPr>
        <w:tabs>
          <w:tab w:val="left" w:pos="7655"/>
        </w:tabs>
        <w:spacing w:after="20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785B">
        <w:rPr>
          <w:rFonts w:asciiTheme="majorHAnsi" w:hAnsiTheme="majorHAnsi" w:cstheme="majorHAnsi"/>
          <w:b/>
          <w:bCs/>
          <w:sz w:val="32"/>
          <w:szCs w:val="32"/>
        </w:rPr>
        <w:t>Školní rok: 2021/2022</w:t>
      </w:r>
    </w:p>
    <w:p w14:paraId="47F818B4" w14:textId="77777777" w:rsidR="00ED785B" w:rsidRDefault="00ED785B" w:rsidP="29F39E56">
      <w:pPr>
        <w:tabs>
          <w:tab w:val="left" w:pos="7655"/>
        </w:tabs>
        <w:spacing w:after="20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DBF5C55" w14:textId="6F8477E2" w:rsidR="00096C88" w:rsidRPr="00ED785B" w:rsidRDefault="00096C88" w:rsidP="29F39E56">
      <w:pPr>
        <w:tabs>
          <w:tab w:val="left" w:pos="7655"/>
        </w:tabs>
        <w:spacing w:after="20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ED785B">
        <w:rPr>
          <w:rFonts w:asciiTheme="majorHAnsi" w:hAnsiTheme="majorHAnsi" w:cstheme="majorHAnsi"/>
          <w:sz w:val="28"/>
          <w:szCs w:val="28"/>
        </w:rPr>
        <w:t>Hodnotící kritéria profilové části maturitní zkoušky</w:t>
      </w:r>
    </w:p>
    <w:p w14:paraId="7F73ECDE" w14:textId="424F191C" w:rsidR="002B13C7" w:rsidRPr="00ED785B" w:rsidRDefault="29F39E56" w:rsidP="3FBA6D58">
      <w:pPr>
        <w:tabs>
          <w:tab w:val="left" w:pos="7655"/>
        </w:tabs>
        <w:spacing w:after="20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1" w:name="_Hlk101711566"/>
      <w:r w:rsidRPr="00ED785B">
        <w:rPr>
          <w:rFonts w:asciiTheme="majorHAnsi" w:hAnsiTheme="majorHAnsi" w:cstheme="majorHAnsi"/>
          <w:sz w:val="28"/>
          <w:szCs w:val="28"/>
        </w:rPr>
        <w:t>Pravidla pro záznam textu</w:t>
      </w:r>
    </w:p>
    <w:bookmarkEnd w:id="0"/>
    <w:p w14:paraId="7F7A23FE" w14:textId="440061F2" w:rsidR="002B13C7" w:rsidRDefault="002B13C7">
      <w:pPr>
        <w:rPr>
          <w:rFonts w:asciiTheme="majorHAnsi" w:hAnsiTheme="majorHAnsi" w:cstheme="majorHAnsi"/>
          <w:sz w:val="24"/>
          <w:szCs w:val="24"/>
        </w:rPr>
      </w:pPr>
    </w:p>
    <w:p w14:paraId="5DBA4D1D" w14:textId="77777777" w:rsidR="00ED785B" w:rsidRPr="00ED785B" w:rsidRDefault="00ED785B">
      <w:pPr>
        <w:rPr>
          <w:rFonts w:asciiTheme="majorHAnsi" w:hAnsiTheme="majorHAnsi" w:cstheme="majorHAnsi"/>
          <w:sz w:val="24"/>
          <w:szCs w:val="24"/>
        </w:rPr>
      </w:pPr>
    </w:p>
    <w:p w14:paraId="0BC3B665" w14:textId="4D8CB97C" w:rsidR="002B13C7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Písemnou prací z českého jazyka a literatury se rozumí vytvoření souvislého textu, jehož minimální rozsah je </w:t>
      </w:r>
      <w:r w:rsidR="00885301" w:rsidRPr="00ED785B">
        <w:rPr>
          <w:rFonts w:asciiTheme="majorHAnsi" w:hAnsiTheme="majorHAnsi" w:cstheme="majorHAnsi"/>
          <w:color w:val="141412"/>
          <w:sz w:val="24"/>
          <w:szCs w:val="24"/>
        </w:rPr>
        <w:t>2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50 slov. Písemná práce trvá nejdéle </w:t>
      </w:r>
      <w:r w:rsidR="00885301" w:rsidRPr="00ED785B">
        <w:rPr>
          <w:rFonts w:asciiTheme="majorHAnsi" w:hAnsiTheme="majorHAnsi" w:cstheme="majorHAnsi"/>
          <w:color w:val="141412"/>
          <w:sz w:val="24"/>
          <w:szCs w:val="24"/>
        </w:rPr>
        <w:t>150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minut včetně času na volbu zadání. Při konání písemné práce má žák možnost použít Pravidla českého pravopisu.</w:t>
      </w:r>
    </w:p>
    <w:p w14:paraId="6E39028D" w14:textId="4E465338" w:rsidR="002B13C7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Písemná práce z českého jazyka a literatury je součástí profilové zkoušky z českého jazyka a literatury, hodnocení písemné práce tvoří 40 % celkového hodnocení zkušebního předmětu.</w:t>
      </w:r>
    </w:p>
    <w:p w14:paraId="1C23CE77" w14:textId="275A7036" w:rsidR="002B13C7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Cílem písemné maturitní práce je, aby žákyně a žáci prokázali, že umí vytvořit text podle zadaných kritérií, dovedou funkčně použít jazykové prostředky tak, aby odpovídaly stanovené komunikační situaci, a vytvořili myšlenkově ucelený, strukturovaný a koherentní text.</w:t>
      </w:r>
    </w:p>
    <w:p w14:paraId="01099269" w14:textId="640C562A" w:rsidR="003C797D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 w:themeFill="background1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Pro písemnou práci ředitelka školy stanoví 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>6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zadání, která se žákům zpřístupní bezprostředně před zahájením zkoušky. Po zahájení zkoušky si žák 1 zadání zvolí. Zadání písemné práce obsahuje název zadání, způsob zpracování zadání a popřípadě výchozí text k zadání. Součástí výchozího textu k zadání může být i obrázek, fotografie, graf.</w:t>
      </w:r>
    </w:p>
    <w:p w14:paraId="24B46CCB" w14:textId="431FE6FF" w:rsidR="002B13C7" w:rsidRPr="00ED785B" w:rsidRDefault="003C797D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 w:themeFill="background1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bookmarkStart w:id="2" w:name="_Hlk95408890"/>
      <w:r w:rsidRPr="00ED785B">
        <w:rPr>
          <w:rFonts w:asciiTheme="majorHAnsi" w:hAnsiTheme="majorHAnsi" w:cstheme="majorHAnsi"/>
          <w:color w:val="141412"/>
          <w:sz w:val="24"/>
          <w:szCs w:val="24"/>
        </w:rPr>
        <w:t>Číslo zvoleného zadání zapíše zadavatel nejpozději 30 minut po zahájení zkoušky do prezenční listiny ke jménu příslušného žáka a do kolonky pro číslo zadání. Poté si už žák nesmí téma změnit. Pokud žák potřebuje odejít z místnosti, položí práci na stůl zadavatele (pouze v případě způsobu psaní do záznamového archu) a ten zaznamená čas žákova odchodu a příchodu do prezenční listiny.</w:t>
      </w:r>
    </w:p>
    <w:bookmarkEnd w:id="2"/>
    <w:p w14:paraId="38BE7F1D" w14:textId="5273F1D8" w:rsidR="002B13C7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Zadání písemné práce jsou stejná pro všechny žáky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>, p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ísemnou práci konají žáci ve stejný den a čas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>.</w:t>
      </w:r>
    </w:p>
    <w:p w14:paraId="7F1F4D6E" w14:textId="2C20998E" w:rsidR="002B13C7" w:rsidRPr="00ED785B" w:rsidRDefault="00096C88" w:rsidP="00ED785B">
      <w:pPr>
        <w:pStyle w:val="Odstavecseseznamem"/>
        <w:numPr>
          <w:ilvl w:val="0"/>
          <w:numId w:val="5"/>
        </w:numPr>
        <w:pBdr>
          <w:top w:val="none" w:sz="0" w:space="3" w:color="auto"/>
          <w:left w:val="none" w:sz="0" w:space="15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Žákovi podle § 20 odst. 4 věty třetí školského zákona se na jeho žádost prodlužuje doba konání písemné práce z českého jazyka a literatury o 40 %. Při konání písemné práce má žák možnost použít překladový slovník a Slovník spisovné češtiny.</w:t>
      </w:r>
    </w:p>
    <w:p w14:paraId="4B89BD8F" w14:textId="02482AE5" w:rsidR="00DA57D2" w:rsidRDefault="00096C88" w:rsidP="00DA57D2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Pro konání písemné práce podle § 14a a 14c a písemné zkoušky podle § 17 stanoví ředitelka školy způsob záznamu vytvářeného textu a seznámí s tímto rozhodnutím žáky nejpozději 2 měsíce před konáním příslušné zkoušky na veřejně přístupném místě ve škole i způsobem umožňujícím dálkový přístup.</w:t>
      </w:r>
    </w:p>
    <w:p w14:paraId="25A23835" w14:textId="77777777" w:rsidR="00DA57D2" w:rsidRPr="00DA57D2" w:rsidRDefault="00DA57D2" w:rsidP="00DA57D2">
      <w:pPr>
        <w:pStyle w:val="Odstavecseseznamem"/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21AC54D5" w14:textId="7329E40C" w:rsidR="002B13C7" w:rsidRPr="00ED785B" w:rsidRDefault="00096C88" w:rsidP="00ED785B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Kritéria hodnocení písemné práce z českého jazyka jsou rozepsána v níže uvedených 3 kritériích, výsledné hodnocení písemné práce je součtem udělených bodů za jednotlivá kritéria.</w:t>
      </w:r>
    </w:p>
    <w:p w14:paraId="6B3F34AF" w14:textId="77777777" w:rsidR="002B13C7" w:rsidRPr="00ED785B" w:rsidRDefault="002B13C7">
      <w:pPr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3FB2AF4A" w14:textId="3E0B911B" w:rsidR="3FBA6D58" w:rsidRPr="00ED785B" w:rsidRDefault="3FBA6D58" w:rsidP="3FBA6D58">
      <w:pPr>
        <w:jc w:val="both"/>
        <w:rPr>
          <w:rFonts w:asciiTheme="majorHAnsi" w:hAnsiTheme="majorHAnsi" w:cstheme="majorHAnsi"/>
          <w:b/>
          <w:bCs/>
          <w:color w:val="141412"/>
          <w:sz w:val="24"/>
          <w:szCs w:val="24"/>
        </w:rPr>
      </w:pPr>
    </w:p>
    <w:p w14:paraId="0D9F04DF" w14:textId="77777777" w:rsidR="00ED785B" w:rsidRDefault="00ED785B">
      <w:pPr>
        <w:jc w:val="both"/>
        <w:rPr>
          <w:rFonts w:asciiTheme="majorHAnsi" w:hAnsiTheme="majorHAnsi" w:cstheme="majorHAnsi"/>
          <w:b/>
          <w:color w:val="141412"/>
          <w:sz w:val="24"/>
          <w:szCs w:val="24"/>
        </w:rPr>
      </w:pPr>
    </w:p>
    <w:p w14:paraId="683C4A68" w14:textId="77777777" w:rsidR="00ED785B" w:rsidRDefault="00ED785B">
      <w:pPr>
        <w:jc w:val="both"/>
        <w:rPr>
          <w:rFonts w:asciiTheme="majorHAnsi" w:hAnsiTheme="majorHAnsi" w:cstheme="majorHAnsi"/>
          <w:b/>
          <w:color w:val="141412"/>
          <w:sz w:val="24"/>
          <w:szCs w:val="24"/>
        </w:rPr>
      </w:pPr>
    </w:p>
    <w:p w14:paraId="72D51E73" w14:textId="656EE1F4" w:rsidR="002B13C7" w:rsidRDefault="00096C88">
      <w:pPr>
        <w:jc w:val="both"/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>Pravidla pro záznam vytvářeného textu</w:t>
      </w:r>
    </w:p>
    <w:p w14:paraId="69DF3C4F" w14:textId="77777777" w:rsidR="00ED785B" w:rsidRPr="00ED785B" w:rsidRDefault="00ED785B">
      <w:pPr>
        <w:jc w:val="both"/>
        <w:rPr>
          <w:rFonts w:asciiTheme="majorHAnsi" w:hAnsiTheme="majorHAnsi" w:cstheme="majorHAnsi"/>
          <w:b/>
          <w:color w:val="141412"/>
          <w:sz w:val="24"/>
          <w:szCs w:val="24"/>
        </w:rPr>
      </w:pPr>
    </w:p>
    <w:p w14:paraId="2B52EA3A" w14:textId="22DD16E3" w:rsidR="00DA57D2" w:rsidRPr="00DA57D2" w:rsidRDefault="00096C88" w:rsidP="00DA57D2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Písemnou práci žáci zapisují do adresných záznamových archů, nebo 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ji zpracují v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textovém souboru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</w:t>
      </w:r>
      <w:proofErr w:type="spellStart"/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>WordPad</w:t>
      </w:r>
      <w:proofErr w:type="spellEnd"/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na PC</w:t>
      </w:r>
      <w:r w:rsidR="006F0BFB">
        <w:rPr>
          <w:rFonts w:asciiTheme="majorHAnsi" w:hAnsiTheme="majorHAnsi" w:cstheme="majorHAnsi"/>
          <w:color w:val="141412"/>
          <w:sz w:val="24"/>
          <w:szCs w:val="24"/>
        </w:rPr>
        <w:t xml:space="preserve">, </w:t>
      </w:r>
      <w:r w:rsidR="003C797D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bez automatických textových úprav a bez přístupu na internet.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Způsob záznamu oznámí žáci z důvodu organizace zkoušky a jejího zajištění nejpozději týden před zahájením zkoušky vedení školy.</w:t>
      </w:r>
      <w:r w:rsidRPr="00ED785B">
        <w:rPr>
          <w:rFonts w:asciiTheme="majorHAnsi" w:hAnsiTheme="majorHAnsi" w:cstheme="majorHAnsi"/>
          <w:sz w:val="24"/>
          <w:szCs w:val="24"/>
        </w:rPr>
        <w:br/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Se způsobem odevzdání v případě záznamu textu na PC, budou žáci seznámeni před zahájením zkoušky.</w:t>
      </w:r>
    </w:p>
    <w:p w14:paraId="51179236" w14:textId="472BF9F2" w:rsidR="002B13C7" w:rsidRPr="00ED785B" w:rsidRDefault="00096C88" w:rsidP="00ED785B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Pokud žáci píší ručně do záznamových archů, měli by psát černě nebo modře píšící propisovací tužkou, která píše dostatečně silně a nepřerušovaně. Zásadně se nedoporučuje psát fixem, obyčejnou tužkou, plnicím či</w:t>
      </w:r>
      <w:r w:rsidR="002E4AEC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„</w:t>
      </w:r>
      <w:proofErr w:type="spell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gumovacím</w:t>
      </w:r>
      <w:proofErr w:type="spell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“ perem. </w:t>
      </w:r>
    </w:p>
    <w:p w14:paraId="535FED97" w14:textId="2B517A7E" w:rsidR="29F39E56" w:rsidRPr="00ED785B" w:rsidRDefault="29F39E56" w:rsidP="00ED785B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S podrobnými pokyny ohledně organizace zkoušky budou žáci seznámeni </w:t>
      </w:r>
      <w:r w:rsidR="00ED785B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zadavatelem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těsně před zahájením zkoušky.</w:t>
      </w:r>
    </w:p>
    <w:bookmarkEnd w:id="1"/>
    <w:p w14:paraId="0DF6BE76" w14:textId="77777777" w:rsidR="00ED785B" w:rsidRDefault="00ED785B">
      <w:pPr>
        <w:rPr>
          <w:rFonts w:asciiTheme="majorHAnsi" w:hAnsiTheme="majorHAnsi" w:cstheme="majorHAnsi"/>
          <w:b/>
          <w:color w:val="141412"/>
          <w:sz w:val="24"/>
          <w:szCs w:val="24"/>
        </w:rPr>
      </w:pPr>
    </w:p>
    <w:p w14:paraId="0D9D8B40" w14:textId="141F4069" w:rsidR="002B13C7" w:rsidRPr="00ED785B" w:rsidRDefault="00096C88">
      <w:pPr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>Kritéria hodnocení písemné práce:</w:t>
      </w:r>
      <w:r w:rsidRPr="00ED785B">
        <w:rPr>
          <w:rFonts w:asciiTheme="majorHAnsi" w:hAnsiTheme="majorHAnsi" w:cstheme="majorHAnsi"/>
          <w:b/>
          <w:color w:val="141412"/>
          <w:sz w:val="24"/>
          <w:szCs w:val="24"/>
          <w:vertAlign w:val="superscript"/>
        </w:rPr>
        <w:footnoteReference w:id="1"/>
      </w: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 xml:space="preserve"> </w:t>
      </w:r>
    </w:p>
    <w:p w14:paraId="6FF3BE7C" w14:textId="77777777" w:rsidR="002B13C7" w:rsidRPr="00ED785B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74DF89A3" w14:textId="77777777" w:rsidR="002B13C7" w:rsidRPr="00ED785B" w:rsidRDefault="00096C88">
      <w:pPr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 xml:space="preserve">1. Zpracování zadání </w:t>
      </w:r>
    </w:p>
    <w:p w14:paraId="3EB03650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1A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Naplnění tématu a úroveň jeho zpracování, funkčnost zpracování tématu</w:t>
      </w:r>
    </w:p>
    <w:p w14:paraId="09207DE6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1B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Splnění zadané komunikační situace a zadaného slohového útvaru </w:t>
      </w:r>
    </w:p>
    <w:p w14:paraId="3E8A8412" w14:textId="77777777" w:rsidR="002B13C7" w:rsidRPr="00ED785B" w:rsidRDefault="00096C88">
      <w:pPr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 xml:space="preserve">2. Pravopis a slovní zásoba </w:t>
      </w:r>
    </w:p>
    <w:p w14:paraId="62F9841F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2A Výskyt pravopisných a tvaroslovných chyb </w:t>
      </w:r>
    </w:p>
    <w:p w14:paraId="194E9472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2B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Slovní zásoba a její využití </w:t>
      </w:r>
    </w:p>
    <w:p w14:paraId="76A1A490" w14:textId="77777777" w:rsidR="002B13C7" w:rsidRPr="00ED785B" w:rsidRDefault="00096C88">
      <w:pPr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 xml:space="preserve">3. Výstavba větných celku a kompozice </w:t>
      </w:r>
    </w:p>
    <w:p w14:paraId="32332FA2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3A Výstavba větných celků a syntaktické prostředky, čtenářský komfort adresáta </w:t>
      </w:r>
    </w:p>
    <w:p w14:paraId="70B7357C" w14:textId="77777777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3B Kompozice, členění textu, argumentace </w:t>
      </w:r>
    </w:p>
    <w:p w14:paraId="3F8BDBDF" w14:textId="77777777" w:rsidR="002B13C7" w:rsidRPr="00ED785B" w:rsidRDefault="002B13C7">
      <w:pPr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737EBD5F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Každé dílčí kritérium (sledované oblasti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1A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, 1B, 2A, 2B, 3A, 3B) je hodnoceno body na škále v následujícím rozmezí 0-1-2-3-4-5, maximální dosažitelný počet bodů je 30. Body popisují výkon žáka v každé sledované oblasti. </w:t>
      </w:r>
    </w:p>
    <w:p w14:paraId="6033CAAA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Pro udělení 4 bodů nebo 5 bodů platí, že výkon žáka je v hodnocené oblasti velmi dobrý a že nevykazuje žádné závažné nedostatky. Rozdíl mezi těmito bodovými pásmy je ve škále vyjádřen v popisu maximálního výkonu, tzn. 5 bodů, adverbiem „plně“, např. „rozmanité lexikální prostředky jsou plně funkční“. Udělení 4 bodů znamená, že práce splňuje požadavky na dané kritérium a drobné nedostatky se objevují pouze ojediněle, 5 bodů se uděluje v případě, kdy výkon v určité oblasti lze vnímat jako nadstandardní.</w:t>
      </w:r>
    </w:p>
    <w:p w14:paraId="3DF2BDFD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Pásmo 3 bodů je popsáno v bodové škále pomocí slovního spojení „v zásadě“, např. „kompozice textu je v zásadě vyvážená“. Znamená to, že text vykazuje určité nedostatky, které však nemají závažný charakter. </w:t>
      </w:r>
    </w:p>
    <w:p w14:paraId="246F71C5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Udělení 1 bodu nebo 2 bodů již signifikuje přítomnost závažných nedostatků („ve větší míře“ – 1 bod, „často/občas“ – 2 body), které mají vliv na porozumění textu, resp. na čtenářský komfort adresáta. </w:t>
      </w:r>
    </w:p>
    <w:p w14:paraId="626C6AC1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Pásmo 0 bodů označuje, že text vykazuje vysokou míru nedostatků a zároveň nedosahuje standardů požadovaných pro udělení 1 bodu.</w:t>
      </w:r>
    </w:p>
    <w:p w14:paraId="7448664C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lastRenderedPageBreak/>
        <w:t xml:space="preserve">V rámci kritéria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je pro každé bodové pásmo v bodové škále vymezen interval chyb, zároveň se zohledňuje jejich charakter. Kvantifikace chyb se týká pouze kritéria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>, stejný princip tedy není možné aplikovat na další sledované oblasti.</w:t>
      </w:r>
    </w:p>
    <w:p w14:paraId="6825B53E" w14:textId="2CA7EC74" w:rsidR="002B13C7" w:rsidRPr="00ED785B" w:rsidRDefault="00096C88" w:rsidP="003C797D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Při hodnocení písemné práce je postup práce s bodovou škálou následující: v popisu jednotlivých bodových pásem se hledá právě to pásmo, které nejvíce odpovídá charakteru hodnoceného textu. Neznamená to tedy, že pro udělení určitých bodů v daném kritériu musí text vykazovat všechny znaky popsané v tomto bodovém pásmu (např. při hodnocení textu, který má výstavbu větných celků ve větší míře přetíženou a celkové nedostatky v syntaxi mají vliv na čtenářský komfort adresáta, je udělen 1 bod v kritériu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3A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>, přestože nemotivované odchylky od pravidelné větné stavby se v textu vyskytují občas = popis pro pásmo 2 bodů).</w:t>
      </w:r>
    </w:p>
    <w:p w14:paraId="09A7055C" w14:textId="77777777" w:rsidR="002B13C7" w:rsidRPr="00ED785B" w:rsidRDefault="00096C88">
      <w:pPr>
        <w:numPr>
          <w:ilvl w:val="0"/>
          <w:numId w:val="2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Pokud je písemná práce v dílčím kritériu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1A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nebo 1B hodnocena počtem bodů 0, dále se písemná práce nehodnotí a výsledný počet bodů za písemnou práci je 0 bodů. </w:t>
      </w:r>
    </w:p>
    <w:p w14:paraId="67855B3C" w14:textId="77777777" w:rsidR="002B13C7" w:rsidRPr="00ED785B" w:rsidRDefault="002B13C7">
      <w:pPr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0209EB36" w14:textId="77777777" w:rsidR="002B13C7" w:rsidRPr="00ED785B" w:rsidRDefault="00096C88">
      <w:pPr>
        <w:jc w:val="both"/>
        <w:rPr>
          <w:rFonts w:asciiTheme="majorHAnsi" w:hAnsiTheme="majorHAnsi" w:cstheme="majorHAnsi"/>
          <w:b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b/>
          <w:color w:val="141412"/>
          <w:sz w:val="24"/>
          <w:szCs w:val="24"/>
        </w:rPr>
        <w:t>Způsob hodnocení písemné práce</w:t>
      </w:r>
    </w:p>
    <w:p w14:paraId="519124FF" w14:textId="77777777" w:rsidR="002B13C7" w:rsidRPr="00ED785B" w:rsidRDefault="002B13C7">
      <w:pPr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48453530" w14:textId="77777777" w:rsidR="002B13C7" w:rsidRPr="00ED785B" w:rsidRDefault="00096C8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Předmětem hodnocení je pouze autorský text žáka. Žák může do své písemné práce funkčně začlenit výchozí text. V případě prokazatelného převzetí textu ze zadání (výchozího textu) se však text nezapočítává do celkového rozsahu písemné práce, a tudíž není předmětem hodnocení. Totéž platí, pokud žák doslovně převezme název zadání jako nadpis.</w:t>
      </w:r>
    </w:p>
    <w:p w14:paraId="22164828" w14:textId="77777777" w:rsidR="002B13C7" w:rsidRPr="00ED785B" w:rsidRDefault="002B13C7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</w:p>
    <w:p w14:paraId="4BDAF894" w14:textId="586C2E2B" w:rsidR="002B13C7" w:rsidRPr="00ED785B" w:rsidRDefault="00096C8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Rozsah písemné práce je minimálně </w:t>
      </w:r>
      <w:r w:rsidR="00885301" w:rsidRPr="00ED785B">
        <w:rPr>
          <w:rFonts w:asciiTheme="majorHAnsi" w:hAnsiTheme="majorHAnsi" w:cstheme="majorHAnsi"/>
          <w:color w:val="141412"/>
          <w:sz w:val="24"/>
          <w:szCs w:val="24"/>
        </w:rPr>
        <w:t>2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50 slov, jako jedno slovo se počítají:</w:t>
      </w:r>
    </w:p>
    <w:p w14:paraId="2A7F1BA3" w14:textId="77777777" w:rsidR="002B13C7" w:rsidRPr="00ED785B" w:rsidRDefault="00096C88" w:rsidP="00ED785B">
      <w:pPr>
        <w:numPr>
          <w:ilvl w:val="1"/>
          <w:numId w:val="6"/>
        </w:numP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předložky jednoslovné (s = 1 slovo; za účelem = 2 slova);</w:t>
      </w:r>
    </w:p>
    <w:p w14:paraId="6953F5D5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spojky;</w:t>
      </w:r>
    </w:p>
    <w:p w14:paraId="550AE05E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zájmena;</w:t>
      </w:r>
    </w:p>
    <w:p w14:paraId="1D4E56E2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citoslovce (ach ouvej = 2 slova);</w:t>
      </w:r>
    </w:p>
    <w:p w14:paraId="6167E2AF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zkratky a zkratková slova (JAMU = 1 slovo; Čedok = 1 slovo);</w:t>
      </w:r>
    </w:p>
    <w:p w14:paraId="69703175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víceslovná vlastní jména a názvy (Petr Novák = 1 slovo; Žďár nad Sázavou = 1 slovo);</w:t>
      </w:r>
    </w:p>
    <w:p w14:paraId="10264633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číslovky (5 lidí = 2 slova, pět lidí = 2 slova; sedm set dvacet korun = 2 slova);</w:t>
      </w:r>
    </w:p>
    <w:p w14:paraId="275FCD33" w14:textId="77777777" w:rsidR="002B13C7" w:rsidRPr="00ED785B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rozepsané datum (10. října 2013 = 1 slovo; V Praze 25. května 2013 = 3 slova);</w:t>
      </w:r>
    </w:p>
    <w:p w14:paraId="214FD99F" w14:textId="6BFF634D" w:rsidR="002B13C7" w:rsidRDefault="00096C88" w:rsidP="00ED785B">
      <w:pPr>
        <w:numPr>
          <w:ilvl w:val="1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adresy (pepa@seznam.cz) = 1 slovo, Máchova 20 = 1 slovo).</w:t>
      </w:r>
    </w:p>
    <w:p w14:paraId="3F9173EA" w14:textId="77777777" w:rsidR="00ED785B" w:rsidRPr="00ED785B" w:rsidRDefault="00ED785B" w:rsidP="00ED785B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240" w:lineRule="auto"/>
        <w:ind w:left="1440"/>
        <w:rPr>
          <w:rFonts w:asciiTheme="majorHAnsi" w:hAnsiTheme="majorHAnsi" w:cstheme="majorHAnsi"/>
          <w:color w:val="141412"/>
          <w:sz w:val="24"/>
          <w:szCs w:val="24"/>
        </w:rPr>
      </w:pPr>
    </w:p>
    <w:p w14:paraId="0F5C762A" w14:textId="4A18A40F" w:rsidR="002B13C7" w:rsidRPr="00ED785B" w:rsidRDefault="000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Písemná práce, která nesplňuje stanovený minimální rozsah, je celkově hodnocena 0 body, v jednotlivých kritériích se nehodnotí.</w:t>
      </w:r>
    </w:p>
    <w:p w14:paraId="2E5ABB4D" w14:textId="77777777" w:rsidR="00ED785B" w:rsidRP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sz w:val="24"/>
          <w:szCs w:val="24"/>
        </w:rPr>
      </w:pPr>
    </w:p>
    <w:p w14:paraId="692DF515" w14:textId="69D0495E" w:rsidR="002B13C7" w:rsidRPr="00ED785B" w:rsidRDefault="000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Při hodnocení pravopisu se rozlišuje „hrubá“ a „malá</w:t>
      </w:r>
      <w:r w:rsidRPr="00ED785B">
        <w:rPr>
          <w:rFonts w:asciiTheme="majorHAnsi" w:hAnsiTheme="majorHAnsi" w:cstheme="majorHAnsi"/>
          <w:color w:val="141412"/>
          <w:sz w:val="24"/>
          <w:szCs w:val="24"/>
          <w:vertAlign w:val="superscript"/>
        </w:rPr>
        <w:footnoteReference w:id="2"/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“ chyba, přičemž se navazuje na úzus, který je v českém školském prostředí běžný,</w:t>
      </w:r>
      <w:r w:rsidR="00885301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viz tabulka. Opakovaná chyba se vícekrát nezapočítává (např. žák neumí napsat spřežku „vtom“ – tato spřežka je při opakovaném použití chápána jako jedna chyba, ale chybný zápis každé jiné spřežky je další chyba).</w:t>
      </w:r>
    </w:p>
    <w:p w14:paraId="4A1103F6" w14:textId="77777777" w:rsidR="00ED785B" w:rsidRDefault="00ED785B" w:rsidP="00ED785B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769B9787" w14:textId="09D1E031" w:rsid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39279E3" w14:textId="355ADB3F" w:rsid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999DB4C" w14:textId="1E7EE387" w:rsid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4EB81B2" w14:textId="59DB405C" w:rsid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B40FA30" w14:textId="77777777" w:rsidR="00ED785B" w:rsidRPr="00ED785B" w:rsidRDefault="00ED785B" w:rsidP="00ED78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3201FF1" w14:textId="77777777" w:rsidR="002B13C7" w:rsidRPr="00ED785B" w:rsidRDefault="002B13C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3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2B13C7" w:rsidRPr="00ED785B" w14:paraId="7246931A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16F3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b/>
                <w:sz w:val="24"/>
                <w:szCs w:val="24"/>
              </w:rPr>
              <w:t>Orientační rozlišení hrubých chyb: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3D2C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b/>
                <w:sz w:val="24"/>
                <w:szCs w:val="24"/>
              </w:rPr>
              <w:t>Orientační rozlišení malých chyb:</w:t>
            </w:r>
          </w:p>
        </w:tc>
      </w:tr>
      <w:tr w:rsidR="002B13C7" w:rsidRPr="00ED785B" w14:paraId="66BAB4B4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4FA6" w14:textId="23D215E1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ve vyjmenovaných </w:t>
            </w:r>
            <w:r w:rsidR="00885301"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a příbuzných </w:t>
            </w: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slovech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48E0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interpunkci, pokud chyba nemá vliv na porozumění textu</w:t>
            </w:r>
          </w:p>
        </w:tc>
      </w:tr>
      <w:tr w:rsidR="002B13C7" w:rsidRPr="00ED785B" w14:paraId="23F6F218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5CFF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psaní velkých písmen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62ED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zápisu přímé řeči, pokud chyba nemá vliv na porozumění textu</w:t>
            </w:r>
          </w:p>
        </w:tc>
      </w:tr>
      <w:tr w:rsidR="002B13C7" w:rsidRPr="00ED785B" w14:paraId="1543237A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4DF2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pravidlech psaní i/y po tvrdých a měkkých souhláskách, v koncovkách slov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24D6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kvantitě hlásek</w:t>
            </w:r>
          </w:p>
        </w:tc>
      </w:tr>
      <w:tr w:rsidR="002B13C7" w:rsidRPr="00ED785B" w14:paraId="444E866B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AB01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ve shodě přísudku s podmětem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1B3B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v nesprávném dělení slov na konci řádku </w:t>
            </w:r>
          </w:p>
        </w:tc>
      </w:tr>
      <w:tr w:rsidR="002B13C7" w:rsidRPr="00ED785B" w14:paraId="7E56877B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8493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rozlišování hranic slov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BCBD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ve vynechání hlásek ve slově</w:t>
            </w:r>
          </w:p>
        </w:tc>
      </w:tr>
      <w:tr w:rsidR="002B13C7" w:rsidRPr="00ED785B" w14:paraId="4125FE65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7E4E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chybném psaní předpon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63A7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70B16E27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44ED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psaní předložek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28F0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6E06C9EA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CEBE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asimilaci znělosti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4389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2EFBF55C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0C79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souhláskových skupinách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382C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2FE00A88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8A30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v psaní mě/mně, </w:t>
            </w:r>
            <w:proofErr w:type="spellStart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bě</w:t>
            </w:r>
            <w:proofErr w:type="spellEnd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bje</w:t>
            </w:r>
            <w:proofErr w:type="spellEnd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vě</w:t>
            </w:r>
            <w:proofErr w:type="spellEnd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vje</w:t>
            </w:r>
            <w:proofErr w:type="spellEnd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pě</w:t>
            </w:r>
            <w:proofErr w:type="spellEnd"/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1D05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2B1C4798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C259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interpunkci, pokud chyba má vliv na porozumění textu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99FC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060D38EC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D09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v zápisu přímé řeči, pokud chyba má vliv na porozumění textu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42A9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13C7" w:rsidRPr="00ED785B" w14:paraId="5A2A3984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5C06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chyby ve slovotvorbě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250C" w14:textId="77777777" w:rsidR="002B13C7" w:rsidRPr="00ED785B" w:rsidRDefault="002B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0ED55F8" w14:textId="77777777" w:rsidR="002B13C7" w:rsidRPr="00ED785B" w:rsidRDefault="002B13C7">
      <w:pPr>
        <w:rPr>
          <w:rFonts w:asciiTheme="majorHAnsi" w:hAnsiTheme="majorHAnsi" w:cstheme="majorHAnsi"/>
          <w:sz w:val="24"/>
          <w:szCs w:val="24"/>
        </w:rPr>
      </w:pPr>
    </w:p>
    <w:p w14:paraId="4C07DCD7" w14:textId="77777777" w:rsidR="002B13C7" w:rsidRPr="00ED785B" w:rsidRDefault="00096C88">
      <w:pPr>
        <w:numPr>
          <w:ilvl w:val="0"/>
          <w:numId w:val="1"/>
        </w:num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Kvantifikace chyb a bodové hodnocení (kritérium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>):</w:t>
      </w:r>
    </w:p>
    <w:p w14:paraId="64B00476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5 bodů: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2 - 3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chyby;</w:t>
      </w:r>
    </w:p>
    <w:p w14:paraId="4FA81355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4 body: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4 - 5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chyb;</w:t>
      </w:r>
    </w:p>
    <w:p w14:paraId="7DFA965E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3 body: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6 - 7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chyb;</w:t>
      </w:r>
    </w:p>
    <w:p w14:paraId="116782F8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2 body: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8 - 9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chyb;</w:t>
      </w:r>
    </w:p>
    <w:p w14:paraId="4B183072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1 bod: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10 - 11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 chyb;</w:t>
      </w:r>
    </w:p>
    <w:p w14:paraId="7A0762C6" w14:textId="77777777" w:rsidR="002B13C7" w:rsidRPr="00ED785B" w:rsidRDefault="00096C88">
      <w:pPr>
        <w:ind w:left="720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0 bodů: 12 a více chyb.</w:t>
      </w:r>
    </w:p>
    <w:p w14:paraId="08652C36" w14:textId="77777777" w:rsidR="002B13C7" w:rsidRPr="00ED785B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2C5DC4D9" w14:textId="77777777" w:rsidR="002B13C7" w:rsidRPr="00ED785B" w:rsidRDefault="00096C88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Pokud jsou v písemné práci nečitelné úseky, které mají zakrýt neznalost pravopisu (např. „s“, které se vypadá jako „z“, nebo 3 obloučky na místě, kde se žák rozhoduje, zda napsat „n“, nebo „</w:t>
      </w:r>
      <w:proofErr w:type="spell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nn</w:t>
      </w:r>
      <w:proofErr w:type="spellEnd"/>
      <w:r w:rsidRPr="00ED785B">
        <w:rPr>
          <w:rFonts w:asciiTheme="majorHAnsi" w:hAnsiTheme="majorHAnsi" w:cstheme="majorHAnsi"/>
          <w:color w:val="141412"/>
          <w:sz w:val="24"/>
          <w:szCs w:val="24"/>
        </w:rPr>
        <w:t>“), jsou tyto jevy hodnoceny jako pravopisné chyby (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2A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). V jiném případě se nečitelné úseky promítnou do kritéria </w:t>
      </w:r>
      <w:proofErr w:type="gramStart"/>
      <w:r w:rsidRPr="00ED785B">
        <w:rPr>
          <w:rFonts w:asciiTheme="majorHAnsi" w:hAnsiTheme="majorHAnsi" w:cstheme="majorHAnsi"/>
          <w:color w:val="141412"/>
          <w:sz w:val="24"/>
          <w:szCs w:val="24"/>
        </w:rPr>
        <w:t>3B</w:t>
      </w:r>
      <w:proofErr w:type="gramEnd"/>
      <w:r w:rsidRPr="00ED785B">
        <w:rPr>
          <w:rFonts w:asciiTheme="majorHAnsi" w:hAnsiTheme="majorHAnsi" w:cstheme="majorHAnsi"/>
          <w:color w:val="141412"/>
          <w:sz w:val="24"/>
          <w:szCs w:val="24"/>
        </w:rPr>
        <w:t>, narušují totiž koherenci textu. Pokud je text (nebo jeho podstatná část) nečitelný, hodnotitel má právo písemnou práci dále nehodnotit, práce bude tedy hodnocena 0 body.</w:t>
      </w:r>
    </w:p>
    <w:p w14:paraId="24557946" w14:textId="77777777" w:rsidR="002B13C7" w:rsidRPr="00ED785B" w:rsidRDefault="002B13C7">
      <w:pPr>
        <w:ind w:left="720"/>
        <w:jc w:val="both"/>
        <w:rPr>
          <w:rFonts w:asciiTheme="majorHAnsi" w:hAnsiTheme="majorHAnsi" w:cstheme="majorHAnsi"/>
          <w:color w:val="141412"/>
          <w:sz w:val="24"/>
          <w:szCs w:val="24"/>
        </w:rPr>
      </w:pPr>
    </w:p>
    <w:p w14:paraId="7E1A2DFF" w14:textId="77777777" w:rsidR="002B13C7" w:rsidRPr="00ED785B" w:rsidRDefault="00096C88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Minimální dosažená hranice úspěšnosti je 13 bodů, maximální počet dosažených bodů z písemné práce je 30. Konkrétní hodnocení písemné práce viz tabulka.</w:t>
      </w:r>
    </w:p>
    <w:p w14:paraId="4D6378FC" w14:textId="16CAEB71" w:rsidR="002B13C7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01B70607" w14:textId="77777777" w:rsidR="00ED785B" w:rsidRPr="00ED785B" w:rsidRDefault="00ED785B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7C25445E" w14:textId="77777777" w:rsidR="002B13C7" w:rsidRPr="00ED785B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tbl>
      <w:tblPr>
        <w:tblStyle w:val="2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2B13C7" w:rsidRPr="00ED785B" w14:paraId="0CDA06D5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CEC6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b/>
                <w:color w:val="141412"/>
                <w:sz w:val="24"/>
                <w:szCs w:val="24"/>
              </w:rPr>
              <w:t>počet získaných bodů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48E3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b/>
                <w:color w:val="141412"/>
                <w:sz w:val="24"/>
                <w:szCs w:val="24"/>
              </w:rPr>
              <w:t>hodnocení písemné práce</w:t>
            </w:r>
          </w:p>
        </w:tc>
      </w:tr>
      <w:tr w:rsidR="002B13C7" w:rsidRPr="00ED785B" w14:paraId="5CBC7C8B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CF1B" w14:textId="669B3021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proofErr w:type="gramStart"/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30</w:t>
            </w:r>
            <w:r w:rsidR="00E408AE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 xml:space="preserve"> - 26</w:t>
            </w:r>
            <w:proofErr w:type="gramEnd"/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FB5A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výborně</w:t>
            </w:r>
          </w:p>
        </w:tc>
      </w:tr>
      <w:tr w:rsidR="002B13C7" w:rsidRPr="00ED785B" w14:paraId="5E5446F1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B9F6" w14:textId="428B337A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proofErr w:type="gramStart"/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2</w:t>
            </w:r>
            <w:r w:rsidR="00E408AE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5 - 22</w:t>
            </w:r>
            <w:proofErr w:type="gramEnd"/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E78F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chvalitebně</w:t>
            </w:r>
          </w:p>
        </w:tc>
      </w:tr>
      <w:tr w:rsidR="002B13C7" w:rsidRPr="00ED785B" w14:paraId="412E5017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7E44" w14:textId="6F441053" w:rsidR="002B13C7" w:rsidRPr="00ED785B" w:rsidRDefault="00E4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 xml:space="preserve">21 - </w:t>
            </w:r>
            <w:r w:rsidR="00096C88"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D410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dobře</w:t>
            </w:r>
          </w:p>
        </w:tc>
      </w:tr>
      <w:tr w:rsidR="002B13C7" w:rsidRPr="00ED785B" w14:paraId="7B100785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59E0" w14:textId="2A56034D" w:rsidR="002B13C7" w:rsidRPr="00ED785B" w:rsidRDefault="00E4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 xml:space="preserve">16 - </w:t>
            </w:r>
            <w:r w:rsidR="00096C88"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13</w:t>
            </w:r>
            <w:proofErr w:type="gramEnd"/>
            <w:r w:rsidR="00096C88"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9FD8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dostatečně</w:t>
            </w:r>
          </w:p>
        </w:tc>
      </w:tr>
      <w:tr w:rsidR="002B13C7" w:rsidRPr="00ED785B" w14:paraId="2989CD11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624B" w14:textId="568C2B8A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12</w:t>
            </w:r>
            <w:r w:rsidR="00E408AE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 xml:space="preserve"> - 0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9D28" w14:textId="77777777" w:rsidR="002B13C7" w:rsidRPr="00ED785B" w:rsidRDefault="00096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141412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color w:val="141412"/>
                <w:sz w:val="24"/>
                <w:szCs w:val="24"/>
              </w:rPr>
              <w:t>nedostatečně</w:t>
            </w:r>
          </w:p>
        </w:tc>
      </w:tr>
    </w:tbl>
    <w:p w14:paraId="268CCE3C" w14:textId="77777777" w:rsidR="002B13C7" w:rsidRPr="00ED785B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02D08B19" w14:textId="77777777" w:rsidR="002B13C7" w:rsidRPr="00ED785B" w:rsidRDefault="002B13C7">
      <w:pPr>
        <w:rPr>
          <w:rFonts w:asciiTheme="majorHAnsi" w:hAnsiTheme="majorHAnsi" w:cstheme="majorHAnsi"/>
          <w:sz w:val="24"/>
          <w:szCs w:val="24"/>
        </w:rPr>
      </w:pPr>
    </w:p>
    <w:p w14:paraId="1574F382" w14:textId="77777777" w:rsidR="002B13C7" w:rsidRPr="00ED785B" w:rsidRDefault="00096C88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ED785B">
        <w:rPr>
          <w:rFonts w:asciiTheme="majorHAnsi" w:eastAsia="Calibri" w:hAnsiTheme="majorHAnsi" w:cstheme="majorHAnsi"/>
          <w:b/>
          <w:sz w:val="24"/>
          <w:szCs w:val="24"/>
        </w:rPr>
        <w:t>Celkové hodnocení maturitní zkoušky:</w:t>
      </w:r>
    </w:p>
    <w:p w14:paraId="42AE8943" w14:textId="401692C6" w:rsidR="002B13C7" w:rsidRPr="00ED785B" w:rsidRDefault="00096C88">
      <w:pPr>
        <w:spacing w:after="160" w:line="259" w:lineRule="auto"/>
        <w:rPr>
          <w:rFonts w:asciiTheme="majorHAnsi" w:eastAsia="Calibri" w:hAnsiTheme="majorHAnsi" w:cstheme="majorHAnsi"/>
          <w:sz w:val="24"/>
          <w:szCs w:val="24"/>
        </w:rPr>
      </w:pPr>
      <w:r w:rsidRPr="00ED785B">
        <w:rPr>
          <w:rFonts w:asciiTheme="majorHAnsi" w:eastAsia="Calibri" w:hAnsiTheme="majorHAnsi" w:cstheme="majorHAnsi"/>
          <w:sz w:val="24"/>
          <w:szCs w:val="24"/>
        </w:rPr>
        <w:t>Aby žák</w:t>
      </w:r>
      <w:r w:rsidR="002E4AEC" w:rsidRPr="00ED785B">
        <w:rPr>
          <w:rFonts w:asciiTheme="majorHAnsi" w:eastAsia="Calibri" w:hAnsiTheme="majorHAnsi" w:cstheme="majorHAnsi"/>
          <w:sz w:val="24"/>
          <w:szCs w:val="24"/>
        </w:rPr>
        <w:t>/</w:t>
      </w:r>
      <w:proofErr w:type="spellStart"/>
      <w:r w:rsidRPr="00ED785B">
        <w:rPr>
          <w:rFonts w:asciiTheme="majorHAnsi" w:eastAsia="Calibri" w:hAnsiTheme="majorHAnsi" w:cstheme="majorHAnsi"/>
          <w:sz w:val="24"/>
          <w:szCs w:val="24"/>
        </w:rPr>
        <w:t>yně</w:t>
      </w:r>
      <w:proofErr w:type="spellEnd"/>
      <w:r w:rsidRPr="00ED785B">
        <w:rPr>
          <w:rFonts w:asciiTheme="majorHAnsi" w:eastAsia="Calibri" w:hAnsiTheme="majorHAnsi" w:cstheme="majorHAnsi"/>
          <w:sz w:val="24"/>
          <w:szCs w:val="24"/>
        </w:rPr>
        <w:t xml:space="preserve"> složil</w:t>
      </w:r>
      <w:r w:rsidR="002E4AEC" w:rsidRPr="00ED785B">
        <w:rPr>
          <w:rFonts w:asciiTheme="majorHAnsi" w:eastAsia="Calibri" w:hAnsiTheme="majorHAnsi" w:cstheme="majorHAnsi"/>
          <w:sz w:val="24"/>
          <w:szCs w:val="24"/>
        </w:rPr>
        <w:t>/</w:t>
      </w:r>
      <w:r w:rsidRPr="00ED785B">
        <w:rPr>
          <w:rFonts w:asciiTheme="majorHAnsi" w:eastAsia="Calibri" w:hAnsiTheme="majorHAnsi" w:cstheme="majorHAnsi"/>
          <w:sz w:val="24"/>
          <w:szCs w:val="24"/>
        </w:rPr>
        <w:t>a profilovou maturitní zkoušku z českého jazyka a literatury, musí splnit obě části maturitní zkoušky (písemnou i ústní) a vnitřní podmínky hodnocení maturitní zkoušky.</w:t>
      </w:r>
    </w:p>
    <w:p w14:paraId="3CD4A150" w14:textId="1CF0F966" w:rsidR="002B13C7" w:rsidRPr="00ED785B" w:rsidRDefault="00096C88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D785B">
        <w:rPr>
          <w:rFonts w:asciiTheme="majorHAnsi" w:eastAsia="Calibri" w:hAnsiTheme="majorHAnsi" w:cstheme="majorHAnsi"/>
          <w:sz w:val="24"/>
          <w:szCs w:val="24"/>
        </w:rPr>
        <w:t>Pokud žák</w:t>
      </w:r>
      <w:r w:rsidR="002E4AEC" w:rsidRPr="00ED785B">
        <w:rPr>
          <w:rFonts w:asciiTheme="majorHAnsi" w:eastAsia="Calibri" w:hAnsiTheme="majorHAnsi" w:cstheme="majorHAnsi"/>
          <w:sz w:val="24"/>
          <w:szCs w:val="24"/>
        </w:rPr>
        <w:t>/</w:t>
      </w:r>
      <w:proofErr w:type="spellStart"/>
      <w:r w:rsidRPr="00ED785B">
        <w:rPr>
          <w:rFonts w:asciiTheme="majorHAnsi" w:eastAsia="Calibri" w:hAnsiTheme="majorHAnsi" w:cstheme="majorHAnsi"/>
          <w:sz w:val="24"/>
          <w:szCs w:val="24"/>
        </w:rPr>
        <w:t>yně</w:t>
      </w:r>
      <w:proofErr w:type="spellEnd"/>
      <w:r w:rsidRPr="00ED785B">
        <w:rPr>
          <w:rFonts w:asciiTheme="majorHAnsi" w:eastAsia="Calibri" w:hAnsiTheme="majorHAnsi" w:cstheme="majorHAnsi"/>
          <w:sz w:val="24"/>
          <w:szCs w:val="24"/>
        </w:rPr>
        <w:t xml:space="preserve"> některou část nezvládne, opakuje jen jednu z nich, tedy písemnou zkoušku, nebo ústní zkoušku.</w:t>
      </w:r>
    </w:p>
    <w:p w14:paraId="7E24E978" w14:textId="77777777" w:rsidR="002B13C7" w:rsidRPr="00ED785B" w:rsidRDefault="002B13C7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1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1795"/>
        <w:gridCol w:w="1796"/>
        <w:gridCol w:w="1796"/>
        <w:gridCol w:w="1796"/>
        <w:gridCol w:w="1796"/>
      </w:tblGrid>
      <w:tr w:rsidR="002B13C7" w:rsidRPr="00ED785B" w14:paraId="1F21A521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943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hodnocení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9996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ústní zkouška: 1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CB49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ústní zkouška: 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8769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ústní zkouška: 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A37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ústní zkouška: 4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90F4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ústní zkouška: 5</w:t>
            </w:r>
          </w:p>
        </w:tc>
      </w:tr>
      <w:tr w:rsidR="002B13C7" w:rsidRPr="00ED785B" w14:paraId="33993B9D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9736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písemná práce: 1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E39B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AE38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4607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5069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AC20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B13C7" w:rsidRPr="00ED785B" w14:paraId="75B54333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D6C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písemná práce: 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0A27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31B1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1DA0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8A8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F2D9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B13C7" w:rsidRPr="00ED785B" w14:paraId="362A2B09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E999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písemná práce: 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65FA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0807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D713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C84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ED23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B13C7" w:rsidRPr="00ED785B" w14:paraId="535D4BBE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D183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písemná práce: 4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4EE1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E1BC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B486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609C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F1AD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B13C7" w:rsidRPr="00ED785B" w14:paraId="70EDC0FE" w14:textId="77777777">
        <w:trPr>
          <w:trHeight w:val="46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A652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písemná práce: 5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59A6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288B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4445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FADC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A40F" w14:textId="77777777" w:rsidR="002B13C7" w:rsidRPr="00ED785B" w:rsidRDefault="00096C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785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</w:tbl>
    <w:p w14:paraId="6C11BF8A" w14:textId="77777777" w:rsidR="002B13C7" w:rsidRPr="00ED785B" w:rsidRDefault="002B13C7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EE074B" w14:textId="77777777" w:rsidR="002B13C7" w:rsidRPr="00ED785B" w:rsidRDefault="002B13C7">
      <w:pPr>
        <w:rPr>
          <w:rFonts w:asciiTheme="majorHAnsi" w:hAnsiTheme="majorHAnsi" w:cstheme="majorHAnsi"/>
          <w:sz w:val="24"/>
          <w:szCs w:val="24"/>
        </w:rPr>
      </w:pPr>
    </w:p>
    <w:p w14:paraId="699AB351" w14:textId="77777777" w:rsidR="002B13C7" w:rsidRPr="00ED785B" w:rsidRDefault="002B13C7">
      <w:pPr>
        <w:rPr>
          <w:rFonts w:asciiTheme="majorHAnsi" w:hAnsiTheme="majorHAnsi" w:cstheme="majorHAnsi"/>
          <w:sz w:val="24"/>
          <w:szCs w:val="24"/>
        </w:rPr>
      </w:pPr>
    </w:p>
    <w:p w14:paraId="6EDE19FE" w14:textId="2A01FEFE" w:rsidR="002B13C7" w:rsidRPr="00ED785B" w:rsidRDefault="00096C88">
      <w:p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Projednáno předmětovou komisí ČJL dne </w:t>
      </w:r>
      <w:r w:rsidR="002E4AEC" w:rsidRPr="00ED785B">
        <w:rPr>
          <w:rFonts w:asciiTheme="majorHAnsi" w:hAnsiTheme="majorHAnsi" w:cstheme="majorHAnsi"/>
          <w:color w:val="141412"/>
          <w:sz w:val="24"/>
          <w:szCs w:val="24"/>
        </w:rPr>
        <w:t xml:space="preserve">15. 2. </w:t>
      </w:r>
      <w:r w:rsidRPr="00ED785B">
        <w:rPr>
          <w:rFonts w:asciiTheme="majorHAnsi" w:hAnsiTheme="majorHAnsi" w:cstheme="majorHAnsi"/>
          <w:color w:val="141412"/>
          <w:sz w:val="24"/>
          <w:szCs w:val="24"/>
        </w:rPr>
        <w:t>2022</w:t>
      </w:r>
    </w:p>
    <w:p w14:paraId="29A012D2" w14:textId="35737F34" w:rsidR="00C13F7F" w:rsidRPr="00ED785B" w:rsidRDefault="00C13F7F">
      <w:pPr>
        <w:rPr>
          <w:rFonts w:asciiTheme="majorHAnsi" w:hAnsiTheme="majorHAnsi" w:cstheme="majorHAnsi"/>
          <w:color w:val="141412"/>
          <w:sz w:val="24"/>
          <w:szCs w:val="24"/>
        </w:rPr>
      </w:pPr>
      <w:r w:rsidRPr="00ED785B">
        <w:rPr>
          <w:rFonts w:asciiTheme="majorHAnsi" w:hAnsiTheme="majorHAnsi" w:cstheme="majorHAnsi"/>
          <w:color w:val="141412"/>
          <w:sz w:val="24"/>
          <w:szCs w:val="24"/>
        </w:rPr>
        <w:t>Š. Šandová</w:t>
      </w:r>
    </w:p>
    <w:p w14:paraId="599810DF" w14:textId="77777777" w:rsidR="002B13C7" w:rsidRPr="00ED785B" w:rsidRDefault="002B13C7">
      <w:pPr>
        <w:rPr>
          <w:rFonts w:asciiTheme="majorHAnsi" w:hAnsiTheme="majorHAnsi" w:cstheme="majorHAnsi"/>
          <w:color w:val="141412"/>
          <w:sz w:val="24"/>
          <w:szCs w:val="24"/>
        </w:rPr>
      </w:pPr>
    </w:p>
    <w:p w14:paraId="39CC0E8F" w14:textId="77777777" w:rsidR="002B13C7" w:rsidRDefault="002B13C7">
      <w:pPr>
        <w:rPr>
          <w:color w:val="141412"/>
          <w:sz w:val="24"/>
          <w:szCs w:val="24"/>
        </w:rPr>
      </w:pPr>
    </w:p>
    <w:sectPr w:rsidR="002B13C7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A1AA" w14:textId="77777777" w:rsidR="00BF0ED8" w:rsidRDefault="00BF0ED8">
      <w:pPr>
        <w:spacing w:line="240" w:lineRule="auto"/>
      </w:pPr>
      <w:r>
        <w:separator/>
      </w:r>
    </w:p>
  </w:endnote>
  <w:endnote w:type="continuationSeparator" w:id="0">
    <w:p w14:paraId="1295CFC6" w14:textId="77777777" w:rsidR="00BF0ED8" w:rsidRDefault="00BF0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23B4" w14:textId="77777777" w:rsidR="00BF0ED8" w:rsidRDefault="00BF0ED8">
      <w:pPr>
        <w:spacing w:line="240" w:lineRule="auto"/>
      </w:pPr>
      <w:r>
        <w:separator/>
      </w:r>
    </w:p>
  </w:footnote>
  <w:footnote w:type="continuationSeparator" w:id="0">
    <w:p w14:paraId="1919614C" w14:textId="77777777" w:rsidR="00BF0ED8" w:rsidRDefault="00BF0ED8">
      <w:pPr>
        <w:spacing w:line="240" w:lineRule="auto"/>
      </w:pPr>
      <w:r>
        <w:continuationSeparator/>
      </w:r>
    </w:p>
  </w:footnote>
  <w:footnote w:id="1">
    <w:p w14:paraId="64D51B02" w14:textId="77777777" w:rsidR="002B13C7" w:rsidRDefault="00096C88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Gabriela </w:t>
      </w:r>
      <w:proofErr w:type="spellStart"/>
      <w:r>
        <w:rPr>
          <w:sz w:val="18"/>
          <w:szCs w:val="18"/>
        </w:rPr>
        <w:t>Baumgartnerová</w:t>
      </w:r>
      <w:proofErr w:type="spellEnd"/>
      <w:r>
        <w:rPr>
          <w:sz w:val="18"/>
          <w:szCs w:val="18"/>
        </w:rPr>
        <w:t xml:space="preserve">, Andrea Kapustová Metodický materiál pro hodnotitele písemných prací z českého jazyka a </w:t>
      </w:r>
      <w:proofErr w:type="gramStart"/>
      <w:r>
        <w:rPr>
          <w:sz w:val="18"/>
          <w:szCs w:val="18"/>
        </w:rPr>
        <w:t>literatury.©</w:t>
      </w:r>
      <w:proofErr w:type="gramEnd"/>
      <w:r>
        <w:rPr>
          <w:sz w:val="18"/>
          <w:szCs w:val="18"/>
        </w:rPr>
        <w:t xml:space="preserve"> Centrum pro zjišťování výsledků vzdělávání, 2016 [cit. 1. 1. 2021] Dostupné z </w:t>
      </w:r>
      <w:hyperlink r:id="rId1">
        <w:r>
          <w:rPr>
            <w:color w:val="1155CC"/>
            <w:sz w:val="18"/>
            <w:szCs w:val="18"/>
            <w:u w:val="single"/>
          </w:rPr>
          <w:t>https://www.eduin.cz/wp-content/uploads/2017/05/Metodicky-material-pro-hodnotitele-PP-CJL_2016.pdf</w:t>
        </w:r>
      </w:hyperlink>
    </w:p>
    <w:p w14:paraId="5E7A078C" w14:textId="77777777" w:rsidR="002B13C7" w:rsidRDefault="002B13C7">
      <w:pPr>
        <w:spacing w:line="240" w:lineRule="auto"/>
        <w:rPr>
          <w:sz w:val="18"/>
          <w:szCs w:val="18"/>
        </w:rPr>
      </w:pPr>
    </w:p>
  </w:footnote>
  <w:footnote w:id="2">
    <w:p w14:paraId="0A806E50" w14:textId="77777777" w:rsidR="002B13C7" w:rsidRDefault="00096C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2 malé chyby = 1 hrubá chyba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30F"/>
    <w:multiLevelType w:val="hybridMultilevel"/>
    <w:tmpl w:val="C7DCF112"/>
    <w:lvl w:ilvl="0" w:tplc="1EF2B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34B"/>
    <w:multiLevelType w:val="multilevel"/>
    <w:tmpl w:val="FE245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42D05"/>
    <w:multiLevelType w:val="hybridMultilevel"/>
    <w:tmpl w:val="C8A27292"/>
    <w:lvl w:ilvl="0" w:tplc="1EF2B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712B"/>
    <w:multiLevelType w:val="hybridMultilevel"/>
    <w:tmpl w:val="B73AE01E"/>
    <w:lvl w:ilvl="0" w:tplc="1EF2B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2EAD"/>
    <w:multiLevelType w:val="multilevel"/>
    <w:tmpl w:val="678E0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38524F"/>
    <w:multiLevelType w:val="multilevel"/>
    <w:tmpl w:val="C318F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4422393">
    <w:abstractNumId w:val="1"/>
  </w:num>
  <w:num w:numId="2" w16cid:durableId="1642030747">
    <w:abstractNumId w:val="5"/>
  </w:num>
  <w:num w:numId="3" w16cid:durableId="34157731">
    <w:abstractNumId w:val="3"/>
  </w:num>
  <w:num w:numId="4" w16cid:durableId="255678539">
    <w:abstractNumId w:val="2"/>
  </w:num>
  <w:num w:numId="5" w16cid:durableId="1093864401">
    <w:abstractNumId w:val="0"/>
  </w:num>
  <w:num w:numId="6" w16cid:durableId="1719667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C7"/>
    <w:rsid w:val="00096C88"/>
    <w:rsid w:val="002B13C7"/>
    <w:rsid w:val="002E4AEC"/>
    <w:rsid w:val="0031508B"/>
    <w:rsid w:val="003C797D"/>
    <w:rsid w:val="004A1FFF"/>
    <w:rsid w:val="005D34FD"/>
    <w:rsid w:val="006F0BFB"/>
    <w:rsid w:val="00885301"/>
    <w:rsid w:val="00BC7D67"/>
    <w:rsid w:val="00BF0ED8"/>
    <w:rsid w:val="00C13F7F"/>
    <w:rsid w:val="00D11852"/>
    <w:rsid w:val="00DA57D2"/>
    <w:rsid w:val="00E408AE"/>
    <w:rsid w:val="00ED785B"/>
    <w:rsid w:val="07316A7A"/>
    <w:rsid w:val="08252D6D"/>
    <w:rsid w:val="08FD3C83"/>
    <w:rsid w:val="0A4FE2DF"/>
    <w:rsid w:val="0F235402"/>
    <w:rsid w:val="10C711E9"/>
    <w:rsid w:val="13F6C525"/>
    <w:rsid w:val="15929586"/>
    <w:rsid w:val="172E65E7"/>
    <w:rsid w:val="1736536D"/>
    <w:rsid w:val="18D223CE"/>
    <w:rsid w:val="1B72F1F9"/>
    <w:rsid w:val="1C09C490"/>
    <w:rsid w:val="21D0F8A6"/>
    <w:rsid w:val="2460CC9E"/>
    <w:rsid w:val="26BBFD94"/>
    <w:rsid w:val="29F39E56"/>
    <w:rsid w:val="39D905F8"/>
    <w:rsid w:val="3EAC771B"/>
    <w:rsid w:val="3FBA6D58"/>
    <w:rsid w:val="4122E212"/>
    <w:rsid w:val="43AFE9E6"/>
    <w:rsid w:val="4F9D357B"/>
    <w:rsid w:val="5E370A35"/>
    <w:rsid w:val="64758F91"/>
    <w:rsid w:val="69622911"/>
    <w:rsid w:val="757F764E"/>
    <w:rsid w:val="7A6A7B3C"/>
    <w:rsid w:val="7FB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09A3"/>
  <w15:docId w15:val="{B3796540-238B-4660-BAD1-5994BD4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AE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D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in.cz/wp-content/uploads/2017/05/Metodicky-material-pro-hodnotitele-PP-CJL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D0B7110B2BD4FB993527D8F5E8F76" ma:contentTypeVersion="11" ma:contentTypeDescription="Vytvoří nový dokument" ma:contentTypeScope="" ma:versionID="6ae428d4f071c8696792ca37853029dc">
  <xsd:schema xmlns:xsd="http://www.w3.org/2001/XMLSchema" xmlns:xs="http://www.w3.org/2001/XMLSchema" xmlns:p="http://schemas.microsoft.com/office/2006/metadata/properties" xmlns:ns2="d949c410-8590-4eea-aedd-f23cf2543389" xmlns:ns3="ce9e2374-f629-4388-b833-bd1d243b6217" targetNamespace="http://schemas.microsoft.com/office/2006/metadata/properties" ma:root="true" ma:fieldsID="a3c94d41930dcc25d06b5f0ebd2c42ab" ns2:_="" ns3:_="">
    <xsd:import namespace="d949c410-8590-4eea-aedd-f23cf2543389"/>
    <xsd:import namespace="ce9e2374-f629-4388-b833-bd1d243b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c410-8590-4eea-aedd-f23cf254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2374-f629-4388-b833-bd1d243b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A0CFD-D8BA-4DF2-B900-8B2FB0226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BD726-1EB5-414A-AACA-A35D667F2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AE822-37C1-4F9F-8633-6756535A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9c410-8590-4eea-aedd-f23cf2543389"/>
    <ds:schemaRef ds:uri="ce9e2374-f629-4388-b833-bd1d243b6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Šandová</dc:creator>
  <cp:keywords/>
  <dc:description/>
  <cp:lastModifiedBy>Šárka Šandová</cp:lastModifiedBy>
  <cp:revision>2</cp:revision>
  <cp:lastPrinted>2022-04-24T14:46:00Z</cp:lastPrinted>
  <dcterms:created xsi:type="dcterms:W3CDTF">2022-05-13T09:38:00Z</dcterms:created>
  <dcterms:modified xsi:type="dcterms:W3CDTF">2022-05-13T09:38:00Z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0x01010089FD0B7110B2BD4FB993527D8F5E8F76</vt:lpwstr>
  </property>
</Properties>
</file>